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24EEA">
      <w:pPr>
        <w:spacing w:line="360" w:lineRule="auto"/>
        <w:jc w:val="left"/>
        <w:rPr>
          <w:sz w:val="36"/>
          <w:szCs w:val="36"/>
        </w:rPr>
      </w:pPr>
      <w:r>
        <w:rPr>
          <w:b/>
          <w:sz w:val="36"/>
          <w:szCs w:val="36"/>
        </w:rPr>
        <w:t>作业</w:t>
      </w:r>
      <w:r>
        <w:rPr>
          <w:rFonts w:hint="eastAsia"/>
          <w:b/>
          <w:sz w:val="36"/>
          <w:szCs w:val="36"/>
          <w:lang w:val="en-US" w:eastAsia="zh-CN"/>
        </w:rPr>
        <w:t>范</w:t>
      </w:r>
      <w:r>
        <w:rPr>
          <w:b/>
          <w:sz w:val="36"/>
          <w:szCs w:val="36"/>
        </w:rPr>
        <w:t>例</w:t>
      </w:r>
    </w:p>
    <w:p w14:paraId="4DF3BD49"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服务员点单落地案例</w:t>
      </w:r>
    </w:p>
    <w:p w14:paraId="64F678E8"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根据服务员点单落地标准化流程，阐述在进场前、进场中、进场后所作的工作，并附上</w:t>
      </w:r>
      <w:r>
        <w:rPr>
          <w:rFonts w:hint="eastAsia"/>
          <w:b/>
          <w:bCs/>
          <w:sz w:val="24"/>
          <w:szCs w:val="24"/>
          <w:lang w:val="en-US" w:eastAsia="zh-CN"/>
        </w:rPr>
        <w:t>服务单验收达标</w:t>
      </w:r>
      <w:r>
        <w:rPr>
          <w:rFonts w:hint="eastAsia"/>
          <w:sz w:val="24"/>
          <w:szCs w:val="24"/>
          <w:lang w:val="en-US" w:eastAsia="zh-CN"/>
        </w:rPr>
        <w:t>截图。</w:t>
      </w:r>
    </w:p>
    <w:p w14:paraId="575E3B49">
      <w:pPr>
        <w:spacing w:line="360" w:lineRule="auto"/>
        <w:jc w:val="left"/>
        <w:rPr>
          <w:rFonts w:hint="default"/>
          <w:sz w:val="24"/>
          <w:szCs w:val="24"/>
          <w:highlight w:val="yellow"/>
          <w:lang w:val="en-US" w:eastAsia="zh-CN"/>
        </w:rPr>
      </w:pPr>
      <w:r>
        <w:rPr>
          <w:rFonts w:hint="eastAsia"/>
          <w:sz w:val="24"/>
          <w:szCs w:val="24"/>
          <w:highlight w:val="yellow"/>
          <w:lang w:val="en-US" w:eastAsia="zh-CN"/>
        </w:rPr>
        <w:t>说明：</w:t>
      </w:r>
      <w:bookmarkStart w:id="0" w:name="_GoBack"/>
      <w:bookmarkEnd w:id="0"/>
      <w:r>
        <w:rPr>
          <w:rFonts w:hint="eastAsia"/>
          <w:sz w:val="24"/>
          <w:szCs w:val="24"/>
          <w:highlight w:val="yellow"/>
          <w:lang w:val="en-US" w:eastAsia="zh-CN"/>
        </w:rPr>
        <w:t>必须为2025年达标的案例</w:t>
      </w:r>
    </w:p>
    <w:p w14:paraId="3615208B">
      <w:pPr>
        <w:spacing w:line="360" w:lineRule="auto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以下提供两例优秀作业范例，可供参考。</w:t>
      </w:r>
    </w:p>
    <w:p w14:paraId="3AFAEB2B">
      <w:pPr>
        <w:numPr>
          <w:ilvl w:val="0"/>
          <w:numId w:val="0"/>
        </w:num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sz w:val="20"/>
          <w:szCs w:val="18"/>
        </w:rPr>
        <w:drawing>
          <wp:inline distT="0" distB="0" distL="114300" distR="114300">
            <wp:extent cx="7122160" cy="2102485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2216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6C6FA"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7107555" cy="3401695"/>
            <wp:effectExtent l="0" t="0" r="7620" b="825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07555" cy="340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540B1">
      <w:pPr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br w:type="page"/>
      </w:r>
    </w:p>
    <w:p w14:paraId="4A50E8D1">
      <w:pPr>
        <w:spacing w:line="360" w:lineRule="auto"/>
        <w:jc w:val="left"/>
        <w:rPr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2</w:t>
      </w:r>
      <w:r>
        <w:rPr>
          <w:b/>
          <w:sz w:val="28"/>
          <w:szCs w:val="28"/>
        </w:rPr>
        <w:t>、FAQ案例</w:t>
      </w:r>
    </w:p>
    <w:p w14:paraId="087ED491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FAQ案例</w:t>
      </w:r>
      <w:r>
        <w:rPr>
          <w:rFonts w:hint="eastAsia"/>
          <w:sz w:val="24"/>
          <w:szCs w:val="24"/>
          <w:lang w:val="en-US" w:eastAsia="zh-CN"/>
        </w:rPr>
        <w:t>可包含</w:t>
      </w:r>
      <w:r>
        <w:rPr>
          <w:sz w:val="24"/>
          <w:szCs w:val="24"/>
        </w:rPr>
        <w:t>以下内容项：</w:t>
      </w:r>
    </w:p>
    <w:p w14:paraId="745DBCE7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①商家信息：重点为使用的管理系统系统版本，</w:t>
      </w:r>
      <w:r>
        <w:rPr>
          <w:rFonts w:hint="eastAsia"/>
          <w:sz w:val="24"/>
          <w:szCs w:val="24"/>
          <w:lang w:val="en-US" w:eastAsia="zh-CN"/>
        </w:rPr>
        <w:t>并</w:t>
      </w:r>
      <w:r>
        <w:rPr>
          <w:sz w:val="24"/>
          <w:szCs w:val="24"/>
        </w:rPr>
        <w:t>补充商家编码信息</w:t>
      </w:r>
    </w:p>
    <w:p w14:paraId="1DFDD4EC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②问题现象：详细描述问题，如在什么时候，使用哪个功能，做了什么操作，出现了什么现象，并配上问题截图</w:t>
      </w:r>
    </w:p>
    <w:p w14:paraId="49DB7ED5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③原因分析：可详细说明自己的排查步骤，最终定位引起问题的原因</w:t>
      </w:r>
    </w:p>
    <w:p w14:paraId="3F946042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④解决方案：根据引起问题的原因，有哪些处理方案，有具体操作步骤的，详细说明并附上截图</w:t>
      </w:r>
    </w:p>
    <w:p w14:paraId="26835DBE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√正确范例：</w:t>
      </w:r>
    </w:p>
    <w:p w14:paraId="300D6ADC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商家编码：41312</w:t>
      </w:r>
    </w:p>
    <w:p w14:paraId="7575F341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系统版本</w:t>
      </w:r>
      <w:r>
        <w:rPr>
          <w:sz w:val="24"/>
          <w:szCs w:val="24"/>
        </w:rPr>
        <w:t>： Version-通娱A-3.0.20240412[]</w:t>
      </w:r>
    </w:p>
    <w:p w14:paraId="790A5ABE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问题现象</w:t>
      </w:r>
      <w:r>
        <w:rPr>
          <w:sz w:val="24"/>
          <w:szCs w:val="24"/>
        </w:rPr>
        <w:t>：通过</w:t>
      </w:r>
      <w:r>
        <w:rPr>
          <w:b/>
          <w:sz w:val="24"/>
          <w:szCs w:val="24"/>
        </w:rPr>
        <w:t>商户通</w:t>
      </w:r>
      <w:r>
        <w:rPr>
          <w:sz w:val="24"/>
          <w:szCs w:val="24"/>
        </w:rPr>
        <w:t>，操作</w:t>
      </w:r>
      <w:r>
        <w:rPr>
          <w:b/>
          <w:sz w:val="24"/>
          <w:szCs w:val="24"/>
        </w:rPr>
        <w:t>酒水赠送</w:t>
      </w:r>
      <w:r>
        <w:rPr>
          <w:sz w:val="24"/>
          <w:szCs w:val="24"/>
        </w:rPr>
        <w:t>时，单品赠送正常，赠送套餐时提示：</w:t>
      </w:r>
      <w:r>
        <w:rPr>
          <w:color w:val="FE0300"/>
          <w:sz w:val="24"/>
          <w:szCs w:val="24"/>
        </w:rPr>
        <w:t>可选套餐【xxx】的方案【xxx】不在点单类型适用范围内</w:t>
      </w:r>
      <w:r>
        <w:rPr>
          <w:sz w:val="24"/>
          <w:szCs w:val="24"/>
        </w:rPr>
        <w:t>，导致无法通过线上进行赠送。</w:t>
      </w:r>
    </w:p>
    <w:p w14:paraId="79525B4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0" distR="0">
            <wp:extent cx="2802255" cy="2857500"/>
            <wp:effectExtent l="0" t="0" r="0" b="0"/>
            <wp:docPr id="4" name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2349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6D4D4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原因分析</w:t>
      </w:r>
      <w:r>
        <w:rPr>
          <w:sz w:val="24"/>
          <w:szCs w:val="24"/>
        </w:rPr>
        <w:t>：</w:t>
      </w:r>
    </w:p>
    <w:p w14:paraId="28DFD8B3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①由提示可知，是可选套餐中的方案[轩尼诗套餐]不在点单类型使用范围，故需检查套餐方案的设置；</w:t>
      </w:r>
    </w:p>
    <w:p w14:paraId="17C1D917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②在方案设置中发现，有</w:t>
      </w:r>
      <w:r>
        <w:rPr>
          <w:b/>
          <w:sz w:val="24"/>
          <w:szCs w:val="24"/>
        </w:rPr>
        <w:t>适用范围</w:t>
      </w:r>
      <w:r>
        <w:rPr>
          <w:sz w:val="24"/>
          <w:szCs w:val="24"/>
        </w:rPr>
        <w:t>参数，而其中[赠送]未勾选，导致该方案不可用于赠送</w:t>
      </w:r>
    </w:p>
    <w:p w14:paraId="478E2916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解决方案</w:t>
      </w:r>
      <w:r>
        <w:rPr>
          <w:sz w:val="24"/>
          <w:szCs w:val="24"/>
        </w:rPr>
        <w:t>：</w:t>
      </w:r>
      <w:r>
        <w:rPr>
          <w:b/>
          <w:sz w:val="24"/>
          <w:szCs w:val="24"/>
        </w:rPr>
        <w:t>将套餐方案的适用范围勾选上赠送</w:t>
      </w:r>
      <w:r>
        <w:rPr>
          <w:sz w:val="24"/>
          <w:szCs w:val="24"/>
        </w:rPr>
        <w:t>即可</w:t>
      </w:r>
    </w:p>
    <w:p w14:paraId="2EA02C39">
      <w:pPr>
        <w:spacing w:line="360" w:lineRule="auto"/>
        <w:jc w:val="left"/>
        <w:rPr>
          <w:sz w:val="24"/>
          <w:szCs w:val="24"/>
        </w:rPr>
      </w:pPr>
      <w:r>
        <w:rPr>
          <w:color w:val="FE0300"/>
          <w:sz w:val="24"/>
          <w:szCs w:val="24"/>
        </w:rPr>
        <w:t>路径</w:t>
      </w:r>
      <w:r>
        <w:rPr>
          <w:sz w:val="24"/>
          <w:szCs w:val="24"/>
        </w:rPr>
        <w:t>：通娱后台系统--物品设置--商品资料--选中对应商品--套餐明细设置--调整方案使用范围</w:t>
      </w:r>
    </w:p>
    <w:p w14:paraId="2D9C6F2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0" distR="0">
            <wp:extent cx="7124700" cy="2045335"/>
            <wp:effectExtent l="0" t="0" r="0" b="0"/>
            <wp:docPr id="5" name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2045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F2185">
      <w:pPr>
        <w:spacing w:line="360" w:lineRule="auto"/>
        <w:rPr>
          <w:sz w:val="24"/>
          <w:szCs w:val="24"/>
        </w:rPr>
      </w:pPr>
      <w:r>
        <w:rPr>
          <w:sz w:val="24"/>
          <w:szCs w:val="24"/>
          <w:shd w:val="clear" w:color="auto" w:fill="FDBE3D"/>
        </w:rPr>
        <w:t>PS</w:t>
      </w:r>
      <w:r>
        <w:rPr>
          <w:sz w:val="24"/>
          <w:szCs w:val="24"/>
        </w:rPr>
        <w:t>：重点是信息明确，准确描述问题，并说明问题的原因及提供详细的解决方案，越详细越好。</w:t>
      </w:r>
    </w:p>
    <w:p w14:paraId="6FDB2543">
      <w:pPr>
        <w:spacing w:line="360" w:lineRule="auto"/>
        <w:jc w:val="left"/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×错误范例：</w:t>
      </w:r>
    </w:p>
    <w:p w14:paraId="7DFB1B55">
      <w:pPr>
        <w:spacing w:line="360" w:lineRule="auto"/>
        <w:jc w:val="left"/>
        <w:rPr>
          <w:sz w:val="24"/>
          <w:szCs w:val="24"/>
        </w:rPr>
      </w:pPr>
      <w:r>
        <w:rPr>
          <w:b w:val="0"/>
          <w:sz w:val="24"/>
          <w:szCs w:val="24"/>
        </w:rPr>
        <w:t>问题现象：赠送失败，提示不在点单适用范围</w:t>
      </w:r>
    </w:p>
    <w:p w14:paraId="30AA7E0C">
      <w:pPr>
        <w:spacing w:line="360" w:lineRule="auto"/>
        <w:jc w:val="left"/>
        <w:rPr>
          <w:sz w:val="24"/>
          <w:szCs w:val="24"/>
        </w:rPr>
      </w:pPr>
      <w:r>
        <w:rPr>
          <w:b w:val="0"/>
          <w:sz w:val="24"/>
          <w:szCs w:val="24"/>
        </w:rPr>
        <w:t>原因分析：套餐参数配置不对</w:t>
      </w:r>
    </w:p>
    <w:p w14:paraId="218E6C54">
      <w:pPr>
        <w:spacing w:line="360" w:lineRule="auto"/>
        <w:jc w:val="left"/>
        <w:rPr>
          <w:sz w:val="24"/>
          <w:szCs w:val="24"/>
        </w:rPr>
      </w:pPr>
      <w:r>
        <w:rPr>
          <w:b w:val="0"/>
          <w:sz w:val="24"/>
          <w:szCs w:val="24"/>
        </w:rPr>
        <w:t>解决方案：调整套餐的参数</w:t>
      </w:r>
    </w:p>
    <w:p w14:paraId="76663157">
      <w:pPr>
        <w:spacing w:line="360" w:lineRule="auto"/>
        <w:jc w:val="left"/>
        <w:rPr>
          <w:b/>
          <w:sz w:val="24"/>
          <w:szCs w:val="24"/>
        </w:rPr>
      </w:pPr>
      <w:r>
        <w:rPr>
          <w:b w:val="0"/>
          <w:sz w:val="24"/>
          <w:szCs w:val="24"/>
        </w:rPr>
        <w:t>（没有说明做了哪些操作引起的问题，原因分析及解决方案没有说明清楚，且都没有附上对应的图片）</w:t>
      </w:r>
    </w:p>
    <w:p w14:paraId="0B6484BA">
      <w:pPr>
        <w:spacing w:line="360" w:lineRule="auto"/>
        <w:jc w:val="left"/>
        <w:rPr>
          <w:b/>
          <w:sz w:val="32"/>
          <w:szCs w:val="32"/>
        </w:rPr>
      </w:pPr>
    </w:p>
    <w:p w14:paraId="2CC58AFC">
      <w:pPr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br w:type="page"/>
      </w:r>
    </w:p>
    <w:p w14:paraId="7B15B435">
      <w:pPr>
        <w:spacing w:line="360" w:lineRule="auto"/>
        <w:jc w:val="left"/>
        <w:rPr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3</w:t>
      </w:r>
      <w:r>
        <w:rPr>
          <w:b/>
          <w:sz w:val="28"/>
          <w:szCs w:val="28"/>
        </w:rPr>
        <w:t>、经验推广</w:t>
      </w:r>
    </w:p>
    <w:p w14:paraId="0DB607DC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在工作当中，大家会有自己使用的提高工作效率的工具，可以对该工具的功能、使用场景、如何使用进行分享。</w:t>
      </w:r>
    </w:p>
    <w:p w14:paraId="2CB4BE88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范例：</w:t>
      </w:r>
    </w:p>
    <w:p w14:paraId="4D357702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工具</w:t>
      </w:r>
      <w:r>
        <w:rPr>
          <w:sz w:val="24"/>
          <w:szCs w:val="24"/>
        </w:rPr>
        <w:t>：科来MAC地址扫描器</w:t>
      </w:r>
    </w:p>
    <w:p w14:paraId="408D8808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drawing>
          <wp:inline distT="0" distB="0" distL="0" distR="0">
            <wp:extent cx="741045" cy="733425"/>
            <wp:effectExtent l="9525" t="9525" r="11430" b="9525"/>
            <wp:docPr id="6" name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1619" cy="733425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407C1F70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使用场景</w:t>
      </w:r>
      <w:r>
        <w:rPr>
          <w:sz w:val="24"/>
          <w:szCs w:val="24"/>
        </w:rPr>
        <w:t>：当连接某些设备的管理口（/console口），需要通过IP+端口进行访问时，可能会遇到只大概记得IP段，但忘记具体ip的情况，虽然可以重置，但也会导致所有的配置都清零。</w:t>
      </w:r>
    </w:p>
    <w:p w14:paraId="0C232B82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此时我们就可以通过该工具，扫码出局域网中所有设备MAC地址与IP的对应关系，从而获取要管理设备的ip地址</w:t>
      </w:r>
    </w:p>
    <w:p w14:paraId="31D15631">
      <w:pPr>
        <w:spacing w:line="360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>功能操作</w:t>
      </w:r>
      <w:r>
        <w:rPr>
          <w:sz w:val="24"/>
          <w:szCs w:val="24"/>
        </w:rPr>
        <w:t>：</w:t>
      </w:r>
    </w:p>
    <w:p w14:paraId="4AB94D6A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①启动科来MAC地址扫描器，在[扫描网段]中选中对应的网卡</w:t>
      </w:r>
    </w:p>
    <w:p w14:paraId="394A4637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0" distR="0">
            <wp:extent cx="7124700" cy="3054350"/>
            <wp:effectExtent l="9525" t="9525" r="9525" b="12700"/>
            <wp:docPr id="7" name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3054647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4BC12A0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②选择好后，工具会自动开始扫描，过程中会详细列出扫出的设备，MAC与IP一一对应，下方显示扫描进度。扫描期间可以暂停或手动中止。</w:t>
      </w:r>
    </w:p>
    <w:p w14:paraId="07FD079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0" distR="0">
            <wp:extent cx="4535170" cy="3930015"/>
            <wp:effectExtent l="9525" t="9525" r="17780" b="13335"/>
            <wp:docPr id="8" name="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35170" cy="3930015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0D0745A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③实体设备上会有MAC信息，这样我们就可以根据MAC地址，确定该设备之前配置的IP地址</w:t>
      </w:r>
    </w:p>
    <w:p w14:paraId="27035673">
      <w:pPr>
        <w:spacing w:line="360" w:lineRule="auto"/>
        <w:rPr>
          <w:sz w:val="24"/>
          <w:szCs w:val="24"/>
        </w:rPr>
      </w:pPr>
    </w:p>
    <w:p w14:paraId="56B95A86">
      <w:pPr>
        <w:spacing w:line="360" w:lineRule="auto"/>
        <w:rPr>
          <w:sz w:val="24"/>
          <w:szCs w:val="24"/>
        </w:rPr>
      </w:pPr>
    </w:p>
    <w:p w14:paraId="4AA54284">
      <w:pPr>
        <w:spacing w:line="360" w:lineRule="auto"/>
        <w:rPr>
          <w:sz w:val="24"/>
          <w:szCs w:val="24"/>
        </w:rPr>
      </w:pPr>
    </w:p>
    <w:p w14:paraId="2C9ACC4B">
      <w:pPr>
        <w:spacing w:line="360" w:lineRule="auto"/>
        <w:rPr>
          <w:sz w:val="24"/>
          <w:szCs w:val="24"/>
        </w:rPr>
      </w:pPr>
    </w:p>
    <w:p w14:paraId="44D6AAD6">
      <w:pPr>
        <w:spacing w:line="360" w:lineRule="auto"/>
        <w:rPr>
          <w:sz w:val="24"/>
          <w:szCs w:val="24"/>
        </w:rPr>
      </w:pPr>
    </w:p>
    <w:p w14:paraId="6BB31D16">
      <w:pPr>
        <w:spacing w:line="360" w:lineRule="auto"/>
        <w:rPr>
          <w:sz w:val="24"/>
          <w:szCs w:val="24"/>
        </w:rPr>
      </w:pPr>
    </w:p>
    <w:p w14:paraId="502D0465">
      <w:pPr>
        <w:spacing w:line="360" w:lineRule="auto"/>
        <w:rPr>
          <w:sz w:val="24"/>
          <w:szCs w:val="24"/>
        </w:rPr>
      </w:pPr>
    </w:p>
    <w:p w14:paraId="2BCEA4C1">
      <w:pPr>
        <w:spacing w:line="360" w:lineRule="auto"/>
        <w:rPr>
          <w:sz w:val="24"/>
          <w:szCs w:val="24"/>
        </w:rPr>
      </w:pPr>
    </w:p>
    <w:p w14:paraId="45164C09">
      <w:pPr>
        <w:spacing w:line="360" w:lineRule="auto"/>
        <w:rPr>
          <w:sz w:val="24"/>
          <w:szCs w:val="24"/>
        </w:rPr>
      </w:pPr>
    </w:p>
    <w:p w14:paraId="410493DD">
      <w:pPr>
        <w:spacing w:line="360" w:lineRule="auto"/>
        <w:rPr>
          <w:sz w:val="24"/>
          <w:szCs w:val="24"/>
        </w:rPr>
      </w:pPr>
    </w:p>
    <w:p w14:paraId="02AB4E20">
      <w:pPr>
        <w:spacing w:line="360" w:lineRule="auto"/>
        <w:rPr>
          <w:sz w:val="24"/>
          <w:szCs w:val="24"/>
        </w:rPr>
      </w:pPr>
    </w:p>
    <w:p w14:paraId="159E323D">
      <w:pPr>
        <w:spacing w:line="360" w:lineRule="auto"/>
        <w:rPr>
          <w:sz w:val="24"/>
          <w:szCs w:val="24"/>
        </w:rPr>
      </w:pPr>
    </w:p>
    <w:p w14:paraId="5683842A">
      <w:pPr>
        <w:spacing w:line="360" w:lineRule="auto"/>
        <w:rPr>
          <w:rFonts w:hint="default"/>
          <w:sz w:val="24"/>
          <w:szCs w:val="24"/>
          <w:lang w:val="en-US" w:eastAsia="zh-CN"/>
        </w:rPr>
        <w:sectPr>
          <w:pgSz w:w="13380" w:h="16905"/>
          <w:pgMar w:top="1440" w:right="1080" w:bottom="1440" w:left="1080" w:header="850" w:footer="991" w:gutter="0"/>
          <w:cols w:space="720" w:num="1"/>
        </w:sectPr>
      </w:pPr>
    </w:p>
    <w:p w14:paraId="1BD7D382">
      <w:pPr>
        <w:spacing w:line="360" w:lineRule="auto"/>
        <w:jc w:val="left"/>
        <w:rPr>
          <w:rFonts w:hint="default"/>
          <w:sz w:val="32"/>
          <w:szCs w:val="32"/>
          <w:lang w:val="en-US"/>
        </w:rPr>
      </w:pPr>
      <w:r>
        <w:rPr>
          <w:rFonts w:hint="eastAsia"/>
          <w:b/>
          <w:sz w:val="32"/>
          <w:szCs w:val="32"/>
          <w:lang w:val="en-US" w:eastAsia="zh-CN"/>
        </w:rPr>
        <w:t>2024年度优秀FAQ分享</w:t>
      </w:r>
    </w:p>
    <w:p w14:paraId="7C8BFF79"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该作业来自江西-曾小顺</w:t>
      </w:r>
    </w:p>
    <w:p w14:paraId="453BF55F">
      <w:pPr>
        <w:numPr>
          <w:ilvl w:val="0"/>
          <w:numId w:val="0"/>
        </w:numPr>
        <w:spacing w:line="360" w:lineRule="auto"/>
        <w:rPr>
          <w:sz w:val="20"/>
          <w:szCs w:val="18"/>
        </w:rPr>
      </w:pPr>
      <w:r>
        <w:rPr>
          <w:sz w:val="20"/>
          <w:szCs w:val="18"/>
        </w:rPr>
        <w:drawing>
          <wp:inline distT="0" distB="0" distL="114300" distR="114300">
            <wp:extent cx="6382385" cy="4296410"/>
            <wp:effectExtent l="9525" t="9525" r="18415" b="18415"/>
            <wp:docPr id="2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82385" cy="429641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6F4C12BA">
      <w:pPr>
        <w:numPr>
          <w:ilvl w:val="0"/>
          <w:numId w:val="0"/>
        </w:numPr>
        <w:spacing w:line="360" w:lineRule="auto"/>
        <w:rPr>
          <w:rFonts w:hint="default"/>
          <w:sz w:val="20"/>
          <w:szCs w:val="18"/>
          <w:lang w:val="en-US" w:eastAsia="zh-CN"/>
        </w:rPr>
      </w:pPr>
      <w:r>
        <w:rPr>
          <w:sz w:val="20"/>
          <w:szCs w:val="18"/>
        </w:rPr>
        <w:drawing>
          <wp:inline distT="0" distB="0" distL="114300" distR="114300">
            <wp:extent cx="6382385" cy="4297045"/>
            <wp:effectExtent l="9525" t="9525" r="18415" b="17780"/>
            <wp:docPr id="2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82385" cy="4297045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sectPr>
      <w:pgSz w:w="13380" w:h="16905"/>
      <w:pgMar w:top="1440" w:right="1080" w:bottom="1440" w:left="1080" w:header="850" w:footer="99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B2DBFB"/>
    <w:multiLevelType w:val="singleLevel"/>
    <w:tmpl w:val="D3B2DBF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NiMmJjMGUyMDNhMGI0MjllZTc4OTE3ODRjOTBjMWQifQ=="/>
  </w:docVars>
  <w:rsids>
    <w:rsidRoot w:val="00000000"/>
    <w:rsid w:val="036729E7"/>
    <w:rsid w:val="0F6E755A"/>
    <w:rsid w:val="1B8E2C23"/>
    <w:rsid w:val="215366BB"/>
    <w:rsid w:val="21802D0A"/>
    <w:rsid w:val="2450155D"/>
    <w:rsid w:val="2B4A7ADD"/>
    <w:rsid w:val="3055475E"/>
    <w:rsid w:val="31B50564"/>
    <w:rsid w:val="33F36C2E"/>
    <w:rsid w:val="36FF0B4D"/>
    <w:rsid w:val="3B5900B7"/>
    <w:rsid w:val="3CF14C4E"/>
    <w:rsid w:val="3FE47979"/>
    <w:rsid w:val="433C75D7"/>
    <w:rsid w:val="458E46B3"/>
    <w:rsid w:val="48EC2B79"/>
    <w:rsid w:val="4BC900EF"/>
    <w:rsid w:val="52894959"/>
    <w:rsid w:val="5E317DD6"/>
    <w:rsid w:val="60964052"/>
    <w:rsid w:val="64395E8B"/>
    <w:rsid w:val="6F127F32"/>
    <w:rsid w:val="71DD4604"/>
    <w:rsid w:val="787C6460"/>
    <w:rsid w:val="79D755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</w:rPr>
  </w:style>
  <w:style w:type="paragraph" w:styleId="2">
    <w:name w:val="heading 1"/>
    <w:qFormat/>
    <w:uiPriority w:val="0"/>
    <w:pPr>
      <w:keepNext/>
      <w:keepLines/>
      <w:spacing w:before="348" w:after="210"/>
    </w:pPr>
    <w:rPr>
      <w:rFonts w:asciiTheme="minorHAnsi" w:hAnsiTheme="minorHAnsi" w:eastAsiaTheme="minorEastAsia" w:cstheme="minorBidi"/>
      <w:b/>
      <w:kern w:val="2"/>
      <w:sz w:val="3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qFormat/>
    <w:uiPriority w:val="0"/>
    <w:pPr>
      <w:keepNext/>
      <w:keepLines/>
      <w:spacing w:before="348" w:after="170"/>
    </w:pPr>
    <w:rPr>
      <w:rFonts w:asciiTheme="minorHAnsi" w:hAnsiTheme="minorHAnsi" w:eastAsiaTheme="minorEastAsia" w:cstheme="minorBidi"/>
      <w:b/>
      <w:kern w:val="2"/>
      <w:sz w:val="2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customStyle="1" w:styleId="8">
    <w:name w:val="dingdocnormal"/>
    <w:uiPriority w:val="0"/>
    <w:rPr>
      <w:rFonts w:asciiTheme="minorHAnsi" w:hAnsiTheme="minorHAnsi" w:eastAsiaTheme="minorEastAsia" w:cstheme="minorBidi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995</Words>
  <Characters>1070</Characters>
  <TotalTime>11</TotalTime>
  <ScaleCrop>false</ScaleCrop>
  <LinksUpToDate>false</LinksUpToDate>
  <CharactersWithSpaces>1072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:creator>DingTalk</dc:creator>
  <dc:description>DingTalk Document</dc:description>
  <cp:lastModifiedBy>WPS_1624602660</cp:lastModifiedBy>
  <dcterms:modified xsi:type="dcterms:W3CDTF">2025-09-26T09:54:32Z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ED71843B8F20451981E1134B9DE72DE8_12</vt:lpwstr>
  </property>
  <property fmtid="{D5CDD505-2E9C-101B-9397-08002B2CF9AE}" pid="4" name="KSOTemplateDocerSaveRecord">
    <vt:lpwstr>eyJoZGlkIjoiZTNiMmJjMGUyMDNhMGI0MjllZTc4OTE3ODRjOTBjMWQiLCJ1c2VySWQiOiIxMjI0NDc1NDY5In0=</vt:lpwstr>
  </property>
</Properties>
</file>